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BE2" w:rsidRPr="00706445" w:rsidRDefault="006D5BE2" w:rsidP="00644B01">
      <w:pPr>
        <w:pStyle w:val="Default"/>
        <w:rPr>
          <w:sz w:val="20"/>
          <w:szCs w:val="20"/>
        </w:rPr>
      </w:pPr>
      <w:bookmarkStart w:id="0" w:name="_GoBack"/>
      <w:bookmarkEnd w:id="0"/>
      <w:r w:rsidRPr="00706445">
        <w:rPr>
          <w:sz w:val="20"/>
          <w:szCs w:val="20"/>
        </w:rPr>
        <w:t>Arkivsak-dok.</w:t>
      </w:r>
      <w:r w:rsidR="000C617D">
        <w:rPr>
          <w:sz w:val="20"/>
          <w:szCs w:val="20"/>
        </w:rPr>
        <w:tab/>
        <w:t xml:space="preserve"> </w:t>
      </w:r>
      <w:r w:rsidR="000E313F">
        <w:rPr>
          <w:sz w:val="20"/>
          <w:szCs w:val="20"/>
        </w:rPr>
        <w:t>Notat</w:t>
      </w:r>
      <w:r w:rsidR="000C617D">
        <w:rPr>
          <w:sz w:val="20"/>
          <w:szCs w:val="20"/>
        </w:rPr>
        <w:t xml:space="preserve"> </w:t>
      </w:r>
    </w:p>
    <w:p w:rsidR="00DA7802" w:rsidRDefault="00DA7802" w:rsidP="00644B01">
      <w:pPr>
        <w:pStyle w:val="Default"/>
        <w:rPr>
          <w:sz w:val="20"/>
          <w:szCs w:val="20"/>
        </w:rPr>
      </w:pPr>
    </w:p>
    <w:p w:rsidR="006D5BE2" w:rsidRPr="00706445" w:rsidRDefault="006D5BE2" w:rsidP="00644B01">
      <w:pPr>
        <w:pStyle w:val="Default"/>
        <w:rPr>
          <w:sz w:val="20"/>
          <w:szCs w:val="20"/>
        </w:rPr>
      </w:pPr>
      <w:proofErr w:type="gramStart"/>
      <w:r w:rsidRPr="00706445">
        <w:rPr>
          <w:sz w:val="20"/>
          <w:szCs w:val="20"/>
        </w:rPr>
        <w:t>Saksbehandler:</w:t>
      </w:r>
      <w:r w:rsidR="00150D32">
        <w:rPr>
          <w:sz w:val="20"/>
          <w:szCs w:val="20"/>
        </w:rPr>
        <w:tab/>
      </w:r>
      <w:proofErr w:type="gramEnd"/>
      <w:r w:rsidRPr="00706445">
        <w:rPr>
          <w:sz w:val="20"/>
          <w:szCs w:val="20"/>
        </w:rPr>
        <w:t xml:space="preserve"> </w:t>
      </w:r>
      <w:r w:rsidR="00A92C42">
        <w:rPr>
          <w:sz w:val="20"/>
          <w:szCs w:val="20"/>
        </w:rPr>
        <w:t>Fridtjov Holm</w:t>
      </w:r>
    </w:p>
    <w:p w:rsidR="006D5BE2" w:rsidRDefault="006D5BE2" w:rsidP="00644B01">
      <w:pPr>
        <w:pStyle w:val="Default"/>
        <w:rPr>
          <w:sz w:val="20"/>
          <w:szCs w:val="20"/>
        </w:rPr>
      </w:pPr>
    </w:p>
    <w:p w:rsidR="00DA7802" w:rsidRPr="00706445" w:rsidRDefault="00DA7802" w:rsidP="00644B01">
      <w:pPr>
        <w:pStyle w:val="Default"/>
        <w:rPr>
          <w:sz w:val="20"/>
          <w:szCs w:val="20"/>
        </w:rPr>
      </w:pPr>
    </w:p>
    <w:p w:rsidR="00150D32" w:rsidRPr="00706445" w:rsidRDefault="00061F3C" w:rsidP="00644B01">
      <w:pPr>
        <w:pStyle w:val="Default"/>
        <w:rPr>
          <w:sz w:val="20"/>
          <w:szCs w:val="20"/>
        </w:rPr>
      </w:pPr>
      <w:proofErr w:type="gramStart"/>
      <w:r>
        <w:rPr>
          <w:sz w:val="20"/>
          <w:szCs w:val="20"/>
        </w:rPr>
        <w:t>Dato:</w:t>
      </w:r>
      <w:r w:rsidR="00DA7802">
        <w:rPr>
          <w:sz w:val="20"/>
          <w:szCs w:val="20"/>
        </w:rPr>
        <w:tab/>
      </w:r>
      <w:proofErr w:type="gramEnd"/>
      <w:r w:rsidR="00DA7802">
        <w:rPr>
          <w:sz w:val="20"/>
          <w:szCs w:val="20"/>
        </w:rPr>
        <w:tab/>
      </w:r>
      <w:r w:rsidR="00A92C42">
        <w:rPr>
          <w:sz w:val="20"/>
          <w:szCs w:val="20"/>
        </w:rPr>
        <w:t>10</w:t>
      </w:r>
      <w:r w:rsidR="000C7A6C">
        <w:rPr>
          <w:sz w:val="20"/>
          <w:szCs w:val="20"/>
        </w:rPr>
        <w:t>.0</w:t>
      </w:r>
      <w:r w:rsidR="00A92C42">
        <w:rPr>
          <w:sz w:val="20"/>
          <w:szCs w:val="20"/>
        </w:rPr>
        <w:t>4</w:t>
      </w:r>
      <w:r w:rsidR="000C7A6C">
        <w:rPr>
          <w:sz w:val="20"/>
          <w:szCs w:val="20"/>
        </w:rPr>
        <w:t>.2016</w:t>
      </w:r>
    </w:p>
    <w:p w:rsidR="006D5BE2" w:rsidRDefault="006D5BE2" w:rsidP="00644B01">
      <w:pPr>
        <w:pStyle w:val="Default"/>
        <w:rPr>
          <w:sz w:val="20"/>
          <w:szCs w:val="20"/>
        </w:rPr>
      </w:pPr>
    </w:p>
    <w:p w:rsidR="00430647" w:rsidRDefault="00430647" w:rsidP="00644B01">
      <w:pPr>
        <w:pStyle w:val="Ingenmellomrom"/>
      </w:pPr>
    </w:p>
    <w:p w:rsidR="009A1E36" w:rsidRDefault="009A1E36" w:rsidP="00644B01">
      <w:pPr>
        <w:pStyle w:val="Ingenmellomrom"/>
      </w:pPr>
    </w:p>
    <w:p w:rsidR="004E6EE8" w:rsidRPr="00B73EAF" w:rsidRDefault="000E313F" w:rsidP="00644B01">
      <w:pPr>
        <w:pStyle w:val="Ingenmellomrom"/>
        <w:rPr>
          <w:b/>
          <w:sz w:val="24"/>
          <w:szCs w:val="24"/>
          <w:u w:val="single"/>
        </w:rPr>
      </w:pPr>
      <w:r>
        <w:rPr>
          <w:b/>
          <w:sz w:val="24"/>
          <w:szCs w:val="24"/>
          <w:u w:val="single"/>
        </w:rPr>
        <w:t>NOTAT VEDRØRENDE</w:t>
      </w:r>
      <w:r w:rsidR="005636FB">
        <w:rPr>
          <w:b/>
          <w:sz w:val="24"/>
          <w:szCs w:val="24"/>
          <w:u w:val="single"/>
        </w:rPr>
        <w:t xml:space="preserve"> </w:t>
      </w:r>
      <w:r w:rsidR="00A92C42">
        <w:rPr>
          <w:b/>
          <w:sz w:val="24"/>
          <w:szCs w:val="24"/>
          <w:u w:val="single"/>
        </w:rPr>
        <w:t>ENERGIKOSTNAD</w:t>
      </w:r>
      <w:r>
        <w:rPr>
          <w:b/>
          <w:sz w:val="24"/>
          <w:szCs w:val="24"/>
          <w:u w:val="single"/>
        </w:rPr>
        <w:t>ER</w:t>
      </w:r>
      <w:r w:rsidR="00A92C42">
        <w:rPr>
          <w:b/>
          <w:sz w:val="24"/>
          <w:szCs w:val="24"/>
          <w:u w:val="single"/>
        </w:rPr>
        <w:t xml:space="preserve"> OG AVVIK MELLOM BUDSJETT OG REGNSKAP</w:t>
      </w:r>
    </w:p>
    <w:p w:rsidR="00430647" w:rsidRPr="00430647" w:rsidRDefault="00430647" w:rsidP="00644B01">
      <w:pPr>
        <w:pStyle w:val="Ingenmellomrom"/>
        <w:rPr>
          <w:bCs/>
        </w:rPr>
      </w:pPr>
    </w:p>
    <w:p w:rsidR="00DE225C" w:rsidRDefault="00DE225C" w:rsidP="00644B01">
      <w:pPr>
        <w:pStyle w:val="Ingenmellomrom"/>
        <w:rPr>
          <w:b/>
        </w:rPr>
      </w:pPr>
      <w:r w:rsidRPr="00430647">
        <w:rPr>
          <w:b/>
        </w:rPr>
        <w:t>1. SAKEN GJELDER</w:t>
      </w:r>
    </w:p>
    <w:p w:rsidR="00430647" w:rsidRDefault="00430647" w:rsidP="00644B01">
      <w:pPr>
        <w:pStyle w:val="Ingenmellomrom"/>
        <w:rPr>
          <w:b/>
        </w:rPr>
      </w:pPr>
    </w:p>
    <w:p w:rsidR="009A1E36" w:rsidRDefault="00E44783" w:rsidP="009A1E36">
      <w:pPr>
        <w:pStyle w:val="Ingenmellomrom"/>
      </w:pPr>
      <w:r>
        <w:t>I dette</w:t>
      </w:r>
      <w:r w:rsidR="00472235" w:rsidRPr="009A1E36">
        <w:t xml:space="preserve"> </w:t>
      </w:r>
      <w:r>
        <w:t>notatet</w:t>
      </w:r>
      <w:r w:rsidR="00472235" w:rsidRPr="009A1E36">
        <w:t xml:space="preserve"> fremlegger administrasjonen i SEKF en orientering om utvikling av </w:t>
      </w:r>
      <w:r w:rsidR="00A92C42">
        <w:t>energikostnader og fremdrift ENØK tiltak</w:t>
      </w:r>
      <w:r w:rsidR="00472235" w:rsidRPr="009A1E36">
        <w:t xml:space="preserve"> for formålsbyggene. </w:t>
      </w:r>
    </w:p>
    <w:p w:rsidR="00A92C42" w:rsidRPr="009A1E36" w:rsidRDefault="00A92C42" w:rsidP="009A1E36">
      <w:pPr>
        <w:pStyle w:val="Ingenmellomrom"/>
      </w:pPr>
    </w:p>
    <w:p w:rsidR="00DE225C" w:rsidRPr="00B5474E" w:rsidRDefault="00DE225C" w:rsidP="00644B01">
      <w:pPr>
        <w:pStyle w:val="Ingenmellomrom"/>
        <w:rPr>
          <w:b/>
        </w:rPr>
      </w:pPr>
      <w:r w:rsidRPr="00B5474E">
        <w:rPr>
          <w:b/>
        </w:rPr>
        <w:t>2. BAKGRUNN OG HISTORIKK</w:t>
      </w:r>
    </w:p>
    <w:p w:rsidR="00B5474E" w:rsidRDefault="00B5474E" w:rsidP="00644B01">
      <w:pPr>
        <w:pStyle w:val="Ingenmellomrom"/>
      </w:pPr>
    </w:p>
    <w:p w:rsidR="00472235" w:rsidRDefault="00A92C42" w:rsidP="00644B01">
      <w:pPr>
        <w:pStyle w:val="Ingenmellomrom"/>
      </w:pPr>
      <w:r>
        <w:t>I økonomiplanen for Sandnes kommune er det lagt til grunn en reduksjon i kostnadene for energibruk til formålsbyggene som baseres på et notat fra rådmannen datert 17. november 2011.</w:t>
      </w:r>
    </w:p>
    <w:p w:rsidR="00A92C42" w:rsidRDefault="00A92C42" w:rsidP="00644B01">
      <w:pPr>
        <w:pStyle w:val="Ingenmellomrom"/>
      </w:pPr>
    </w:p>
    <w:p w:rsidR="00A92C42" w:rsidRDefault="00A92C42" w:rsidP="00644B01">
      <w:pPr>
        <w:pStyle w:val="Ingenmellomrom"/>
      </w:pPr>
      <w:r>
        <w:t xml:space="preserve">Notatet lister opp en rekke ENØK tiltak som skal gjennomføres og hvilken innsparing de forventes å ha. </w:t>
      </w:r>
    </w:p>
    <w:p w:rsidR="00A92C42" w:rsidRDefault="00A92C42" w:rsidP="00644B01">
      <w:pPr>
        <w:pStyle w:val="Ingenmellomrom"/>
      </w:pPr>
    </w:p>
    <w:p w:rsidR="00A92C42" w:rsidRDefault="00A92C42" w:rsidP="00644B01">
      <w:pPr>
        <w:pStyle w:val="Ingenmellomrom"/>
      </w:pPr>
      <w:r>
        <w:t xml:space="preserve">Regnskapstallene for årene 2012 til 2015 viser at innsparingene er bedre enn budsjettert frem til 2015, da regnskapet viser et negativt avvik på 4.476.000 kroner i forhold til budsjett. Budsjettet </w:t>
      </w:r>
      <w:r w:rsidR="006B409F">
        <w:t>forutsatte</w:t>
      </w:r>
      <w:r>
        <w:t xml:space="preserve"> at tiltakene fra rådmannens liste </w:t>
      </w:r>
      <w:r w:rsidR="006B409F">
        <w:t>var</w:t>
      </w:r>
      <w:r>
        <w:t xml:space="preserve"> gjennomført innen 2015. Nedenfor presenteres en liste over hvilke tiltak som </w:t>
      </w:r>
      <w:r w:rsidR="006B409F">
        <w:t>var</w:t>
      </w:r>
      <w:r>
        <w:t xml:space="preserve"> gjennomført pr. 2015, hvilken innsparing</w:t>
      </w:r>
      <w:r w:rsidR="00846F59">
        <w:t xml:space="preserve"> disse representerer, og avviket i forhold til de opprinnelig planlagte tiltakene.</w:t>
      </w:r>
    </w:p>
    <w:p w:rsidR="00846F59" w:rsidRDefault="00846F59" w:rsidP="00644B01">
      <w:pPr>
        <w:pStyle w:val="Ingenmellomrom"/>
        <w:rPr>
          <w:b/>
        </w:rPr>
      </w:pPr>
    </w:p>
    <w:p w:rsidR="00DE225C" w:rsidRPr="00430647" w:rsidRDefault="00DE225C" w:rsidP="00644B01">
      <w:pPr>
        <w:pStyle w:val="Ingenmellomrom"/>
        <w:rPr>
          <w:b/>
        </w:rPr>
      </w:pPr>
      <w:r w:rsidRPr="00430647">
        <w:rPr>
          <w:b/>
        </w:rPr>
        <w:t>3. SAKSOPPLYSNINGER</w:t>
      </w:r>
    </w:p>
    <w:p w:rsidR="009C71C3" w:rsidRDefault="009C71C3" w:rsidP="009C71C3">
      <w:pPr>
        <w:pStyle w:val="Default"/>
        <w:rPr>
          <w:sz w:val="22"/>
          <w:szCs w:val="22"/>
          <w:u w:val="single"/>
        </w:rPr>
      </w:pPr>
    </w:p>
    <w:p w:rsidR="009C71C3" w:rsidRDefault="009C71C3" w:rsidP="009C71C3">
      <w:pPr>
        <w:pStyle w:val="Default"/>
        <w:rPr>
          <w:bCs/>
          <w:sz w:val="22"/>
          <w:szCs w:val="22"/>
          <w:u w:val="single"/>
        </w:rPr>
      </w:pPr>
      <w:r w:rsidRPr="005E315B">
        <w:rPr>
          <w:bCs/>
          <w:sz w:val="22"/>
          <w:szCs w:val="22"/>
          <w:u w:val="single"/>
        </w:rPr>
        <w:t xml:space="preserve">Status </w:t>
      </w:r>
    </w:p>
    <w:p w:rsidR="00E64BDC" w:rsidRDefault="00846F59" w:rsidP="009C71C3">
      <w:pPr>
        <w:pStyle w:val="Default"/>
        <w:rPr>
          <w:bCs/>
          <w:sz w:val="22"/>
          <w:szCs w:val="22"/>
        </w:rPr>
      </w:pPr>
      <w:r>
        <w:rPr>
          <w:bCs/>
          <w:sz w:val="22"/>
          <w:szCs w:val="22"/>
        </w:rPr>
        <w:t>Rådmannen ble i 2015 gjort oppmerksom på avvik i energikostnad i 2015 mot budsjett for energi i 2015. Rådmannen fant ikke grunnlag for justering av budsjett for energikostnad i 2015 og dermed var et etterslep (underskudd) for energibudsjettet et faktum. Nedenfor er limt inn utdrag fra rådmannens notat:</w:t>
      </w:r>
    </w:p>
    <w:p w:rsidR="00535E1E" w:rsidRDefault="00846F59" w:rsidP="009C71C3">
      <w:pPr>
        <w:pStyle w:val="Default"/>
        <w:rPr>
          <w:bCs/>
          <w:sz w:val="22"/>
          <w:szCs w:val="22"/>
        </w:rPr>
      </w:pPr>
      <w:r w:rsidRPr="00846F59">
        <w:rPr>
          <w:noProof/>
          <w:highlight w:val="yellow"/>
        </w:rPr>
        <w:lastRenderedPageBreak/>
        <w:drawing>
          <wp:inline distT="0" distB="0" distL="0" distR="0" wp14:anchorId="76D91BCA" wp14:editId="69E79DF7">
            <wp:extent cx="5760720" cy="7725410"/>
            <wp:effectExtent l="0" t="0" r="0" b="889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7725410"/>
                    </a:xfrm>
                    <a:prstGeom prst="rect">
                      <a:avLst/>
                    </a:prstGeom>
                  </pic:spPr>
                </pic:pic>
              </a:graphicData>
            </a:graphic>
          </wp:inline>
        </w:drawing>
      </w:r>
    </w:p>
    <w:p w:rsidR="00535E1E" w:rsidRDefault="00535E1E" w:rsidP="009C71C3">
      <w:pPr>
        <w:pStyle w:val="Default"/>
        <w:rPr>
          <w:bCs/>
          <w:sz w:val="22"/>
          <w:szCs w:val="22"/>
        </w:rPr>
      </w:pPr>
    </w:p>
    <w:p w:rsidR="00535E1E" w:rsidRDefault="00535E1E" w:rsidP="009C71C3">
      <w:pPr>
        <w:pStyle w:val="Default"/>
        <w:rPr>
          <w:bCs/>
          <w:sz w:val="22"/>
          <w:szCs w:val="22"/>
        </w:rPr>
      </w:pPr>
    </w:p>
    <w:p w:rsidR="00E64BDC" w:rsidRDefault="00E64BDC" w:rsidP="009C71C3">
      <w:pPr>
        <w:pStyle w:val="Default"/>
        <w:rPr>
          <w:bCs/>
          <w:sz w:val="22"/>
          <w:szCs w:val="22"/>
        </w:rPr>
      </w:pPr>
    </w:p>
    <w:p w:rsidR="00E64BDC" w:rsidRDefault="00E64BDC" w:rsidP="009C71C3">
      <w:pPr>
        <w:pStyle w:val="Default"/>
        <w:rPr>
          <w:bCs/>
          <w:sz w:val="22"/>
          <w:szCs w:val="22"/>
        </w:rPr>
      </w:pPr>
    </w:p>
    <w:p w:rsidR="006F6BC5" w:rsidRDefault="00846F59" w:rsidP="009C71C3">
      <w:pPr>
        <w:pStyle w:val="Default"/>
        <w:rPr>
          <w:bCs/>
          <w:sz w:val="22"/>
          <w:szCs w:val="22"/>
        </w:rPr>
      </w:pPr>
      <w:r>
        <w:rPr>
          <w:bCs/>
          <w:sz w:val="22"/>
          <w:szCs w:val="22"/>
        </w:rPr>
        <w:t>Under presenteres de faktiske tallene fra budsjett og regnskap i kroner, der øverste linje er summen av energikostnader i budsjett og regnskap (tabell mottatt fra Guri Årtun):</w:t>
      </w:r>
    </w:p>
    <w:p w:rsidR="00846F59" w:rsidRDefault="00846F59" w:rsidP="009C71C3">
      <w:pPr>
        <w:pStyle w:val="Default"/>
        <w:rPr>
          <w:bCs/>
          <w:sz w:val="22"/>
          <w:szCs w:val="22"/>
        </w:rPr>
      </w:pPr>
    </w:p>
    <w:p w:rsidR="00846F59" w:rsidRDefault="00846F59" w:rsidP="009C71C3">
      <w:pPr>
        <w:pStyle w:val="Default"/>
        <w:rPr>
          <w:bCs/>
          <w:sz w:val="22"/>
          <w:szCs w:val="22"/>
        </w:rPr>
      </w:pPr>
      <w:r>
        <w:rPr>
          <w:noProof/>
        </w:rPr>
        <w:drawing>
          <wp:inline distT="0" distB="0" distL="0" distR="0" wp14:anchorId="39866033" wp14:editId="73255286">
            <wp:extent cx="5760720" cy="242824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428240"/>
                    </a:xfrm>
                    <a:prstGeom prst="rect">
                      <a:avLst/>
                    </a:prstGeom>
                  </pic:spPr>
                </pic:pic>
              </a:graphicData>
            </a:graphic>
          </wp:inline>
        </w:drawing>
      </w:r>
    </w:p>
    <w:p w:rsidR="00873EE3" w:rsidRDefault="00873EE3" w:rsidP="009C71C3">
      <w:pPr>
        <w:pStyle w:val="Default"/>
        <w:rPr>
          <w:bCs/>
          <w:sz w:val="22"/>
          <w:szCs w:val="22"/>
          <w:u w:val="single"/>
        </w:rPr>
      </w:pPr>
    </w:p>
    <w:p w:rsidR="00873EE3" w:rsidRDefault="00873EE3" w:rsidP="009C71C3">
      <w:pPr>
        <w:pStyle w:val="Default"/>
        <w:rPr>
          <w:sz w:val="22"/>
          <w:szCs w:val="22"/>
        </w:rPr>
      </w:pPr>
    </w:p>
    <w:p w:rsidR="00425E53" w:rsidRDefault="00425E53" w:rsidP="009C71C3">
      <w:pPr>
        <w:pStyle w:val="Default"/>
        <w:rPr>
          <w:sz w:val="22"/>
          <w:szCs w:val="22"/>
        </w:rPr>
      </w:pPr>
    </w:p>
    <w:p w:rsidR="00846F59" w:rsidRDefault="00846F59" w:rsidP="009C71C3">
      <w:pPr>
        <w:pStyle w:val="Default"/>
        <w:rPr>
          <w:sz w:val="22"/>
          <w:szCs w:val="22"/>
        </w:rPr>
      </w:pPr>
      <w:r>
        <w:rPr>
          <w:sz w:val="22"/>
          <w:szCs w:val="22"/>
        </w:rPr>
        <w:t>Videre presenteres en nå-situasjon for de ENØK tiltakene som pr. dags dato er gjennomført og de som ikke er gjennomført:</w:t>
      </w:r>
    </w:p>
    <w:p w:rsidR="00846F59" w:rsidRDefault="00846F59" w:rsidP="009C71C3">
      <w:pPr>
        <w:pStyle w:val="Default"/>
        <w:rPr>
          <w:sz w:val="22"/>
          <w:szCs w:val="22"/>
        </w:rPr>
      </w:pPr>
    </w:p>
    <w:p w:rsidR="00846F59" w:rsidRDefault="00846F59" w:rsidP="009C71C3">
      <w:pPr>
        <w:pStyle w:val="Default"/>
        <w:rPr>
          <w:sz w:val="22"/>
          <w:szCs w:val="22"/>
        </w:rPr>
      </w:pPr>
      <w:r>
        <w:rPr>
          <w:noProof/>
        </w:rPr>
        <w:drawing>
          <wp:inline distT="0" distB="0" distL="0" distR="0" wp14:anchorId="166CA90B" wp14:editId="707B781C">
            <wp:extent cx="5760720" cy="1800860"/>
            <wp:effectExtent l="0" t="0" r="0" b="889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800860"/>
                    </a:xfrm>
                    <a:prstGeom prst="rect">
                      <a:avLst/>
                    </a:prstGeom>
                  </pic:spPr>
                </pic:pic>
              </a:graphicData>
            </a:graphic>
          </wp:inline>
        </w:drawing>
      </w:r>
    </w:p>
    <w:p w:rsidR="00846F59" w:rsidRDefault="00846F59" w:rsidP="009C71C3">
      <w:pPr>
        <w:pStyle w:val="Default"/>
        <w:rPr>
          <w:sz w:val="22"/>
          <w:szCs w:val="22"/>
        </w:rPr>
      </w:pPr>
    </w:p>
    <w:p w:rsidR="00846F59" w:rsidRDefault="00846F59" w:rsidP="009C71C3">
      <w:pPr>
        <w:pStyle w:val="Default"/>
        <w:rPr>
          <w:sz w:val="22"/>
          <w:szCs w:val="22"/>
        </w:rPr>
      </w:pPr>
      <w:r>
        <w:rPr>
          <w:sz w:val="22"/>
          <w:szCs w:val="22"/>
        </w:rPr>
        <w:t>Den fullstendige listen fra 2011 er gjengitt i sluttrapport fra arbeidsgruppe energi (01.04.2016).</w:t>
      </w:r>
    </w:p>
    <w:p w:rsidR="00846F59" w:rsidRDefault="00846F59" w:rsidP="009C71C3">
      <w:pPr>
        <w:pStyle w:val="Default"/>
        <w:rPr>
          <w:sz w:val="22"/>
          <w:szCs w:val="22"/>
        </w:rPr>
      </w:pPr>
    </w:p>
    <w:p w:rsidR="00DA372A" w:rsidRDefault="001D10A9" w:rsidP="00644B01">
      <w:pPr>
        <w:pStyle w:val="Ingenmellomrom"/>
        <w:rPr>
          <w:b/>
        </w:rPr>
      </w:pPr>
      <w:r>
        <w:rPr>
          <w:b/>
        </w:rPr>
        <w:t>4</w:t>
      </w:r>
      <w:r w:rsidR="00DA372A" w:rsidRPr="00DA372A">
        <w:rPr>
          <w:b/>
        </w:rPr>
        <w:t>. VURDERINGER</w:t>
      </w:r>
      <w:r w:rsidR="00421A64">
        <w:rPr>
          <w:b/>
        </w:rPr>
        <w:t xml:space="preserve"> </w:t>
      </w:r>
    </w:p>
    <w:p w:rsidR="00425E53" w:rsidRPr="00DA372A" w:rsidRDefault="00425E53" w:rsidP="00644B01">
      <w:pPr>
        <w:pStyle w:val="Ingenmellomrom"/>
        <w:rPr>
          <w:b/>
        </w:rPr>
      </w:pPr>
    </w:p>
    <w:p w:rsidR="007D3359" w:rsidRDefault="001D10A9" w:rsidP="00421A64">
      <w:pPr>
        <w:pStyle w:val="Default"/>
        <w:rPr>
          <w:sz w:val="22"/>
          <w:szCs w:val="22"/>
        </w:rPr>
      </w:pPr>
      <w:r>
        <w:rPr>
          <w:sz w:val="22"/>
          <w:szCs w:val="22"/>
        </w:rPr>
        <w:t xml:space="preserve">På bakgrunn av </w:t>
      </w:r>
      <w:r w:rsidR="00846F59">
        <w:rPr>
          <w:sz w:val="22"/>
          <w:szCs w:val="22"/>
        </w:rPr>
        <w:t xml:space="preserve">ovenstående oversikter </w:t>
      </w:r>
      <w:r w:rsidR="000E313F">
        <w:rPr>
          <w:sz w:val="22"/>
          <w:szCs w:val="22"/>
        </w:rPr>
        <w:t xml:space="preserve">kan det gjøres følgende </w:t>
      </w:r>
      <w:r w:rsidR="00653631">
        <w:rPr>
          <w:sz w:val="22"/>
          <w:szCs w:val="22"/>
        </w:rPr>
        <w:t>vurderinger</w:t>
      </w:r>
      <w:r w:rsidR="000E313F">
        <w:rPr>
          <w:sz w:val="22"/>
          <w:szCs w:val="22"/>
        </w:rPr>
        <w:t>:</w:t>
      </w:r>
    </w:p>
    <w:p w:rsidR="000E313F" w:rsidRDefault="000E313F" w:rsidP="00421A64">
      <w:pPr>
        <w:pStyle w:val="Default"/>
        <w:rPr>
          <w:sz w:val="22"/>
          <w:szCs w:val="22"/>
        </w:rPr>
      </w:pPr>
    </w:p>
    <w:p w:rsidR="00421A64" w:rsidRDefault="000E313F" w:rsidP="000E313F">
      <w:pPr>
        <w:pStyle w:val="Default"/>
        <w:numPr>
          <w:ilvl w:val="0"/>
          <w:numId w:val="15"/>
        </w:numPr>
        <w:rPr>
          <w:sz w:val="22"/>
          <w:szCs w:val="22"/>
        </w:rPr>
      </w:pPr>
      <w:r>
        <w:rPr>
          <w:sz w:val="22"/>
          <w:szCs w:val="22"/>
        </w:rPr>
        <w:t>Budsjett for energikostnader i 2015 og 2016 baseres på at ENØK tiltak presentert av rådmann i 2011 er gjennomført. Disser er ikke ferdigstilt og følgelig er det et etterslep som har medført et overforbruk eller underskudd på energikostnader i 2015</w:t>
      </w:r>
    </w:p>
    <w:p w:rsidR="000E313F" w:rsidRDefault="000E313F" w:rsidP="000E313F">
      <w:pPr>
        <w:pStyle w:val="Default"/>
        <w:numPr>
          <w:ilvl w:val="0"/>
          <w:numId w:val="15"/>
        </w:numPr>
        <w:rPr>
          <w:sz w:val="22"/>
          <w:szCs w:val="22"/>
        </w:rPr>
      </w:pPr>
      <w:r>
        <w:rPr>
          <w:sz w:val="22"/>
          <w:szCs w:val="22"/>
        </w:rPr>
        <w:t>Rådmannen ble gjort oppmerksom på dette i 2015, men valgte å ikke oppjustere budsjettet.</w:t>
      </w:r>
    </w:p>
    <w:p w:rsidR="000E313F" w:rsidRDefault="000E313F" w:rsidP="000E313F">
      <w:pPr>
        <w:pStyle w:val="Default"/>
        <w:numPr>
          <w:ilvl w:val="0"/>
          <w:numId w:val="15"/>
        </w:numPr>
        <w:rPr>
          <w:sz w:val="22"/>
          <w:szCs w:val="22"/>
        </w:rPr>
      </w:pPr>
      <w:r>
        <w:rPr>
          <w:sz w:val="22"/>
          <w:szCs w:val="22"/>
        </w:rPr>
        <w:t>Etterslepet vil vedvare gjennom 2016 og vil ikke bli «tatt igjen» før alle tiltalene fra listen er gjennomført i 2018.</w:t>
      </w:r>
    </w:p>
    <w:p w:rsidR="000E313F" w:rsidRDefault="000E313F" w:rsidP="000E313F">
      <w:pPr>
        <w:pStyle w:val="Default"/>
        <w:numPr>
          <w:ilvl w:val="0"/>
          <w:numId w:val="15"/>
        </w:numPr>
        <w:rPr>
          <w:sz w:val="22"/>
          <w:szCs w:val="22"/>
        </w:rPr>
      </w:pPr>
      <w:r>
        <w:rPr>
          <w:sz w:val="22"/>
          <w:szCs w:val="22"/>
        </w:rPr>
        <w:lastRenderedPageBreak/>
        <w:t>Skal SEKF forvaltning og drift gå i balanse, må budsjettet for energikostnader oppjusteres tilsvarende «underskuddet» for 2015.</w:t>
      </w:r>
    </w:p>
    <w:p w:rsidR="006B409F" w:rsidRDefault="006B409F" w:rsidP="000E313F">
      <w:pPr>
        <w:pStyle w:val="Default"/>
        <w:numPr>
          <w:ilvl w:val="0"/>
          <w:numId w:val="15"/>
        </w:numPr>
        <w:rPr>
          <w:sz w:val="22"/>
          <w:szCs w:val="22"/>
        </w:rPr>
      </w:pPr>
      <w:r>
        <w:rPr>
          <w:sz w:val="22"/>
          <w:szCs w:val="22"/>
        </w:rPr>
        <w:t xml:space="preserve">Energiprisen pr kWh lagt til grunn i 2011 er 85 øre, og det harmonerer greit med dagens «normalsituasjon». </w:t>
      </w:r>
    </w:p>
    <w:p w:rsidR="00425E53" w:rsidRDefault="00425E53" w:rsidP="00421A64">
      <w:pPr>
        <w:pStyle w:val="Default"/>
        <w:rPr>
          <w:sz w:val="22"/>
          <w:szCs w:val="22"/>
        </w:rPr>
      </w:pPr>
    </w:p>
    <w:p w:rsidR="00DA372A" w:rsidRDefault="00061F3C" w:rsidP="00644B01">
      <w:pPr>
        <w:pStyle w:val="Ingenmellomrom"/>
        <w:rPr>
          <w:b/>
        </w:rPr>
      </w:pPr>
      <w:r>
        <w:rPr>
          <w:b/>
        </w:rPr>
        <w:t>Oppsummering</w:t>
      </w:r>
    </w:p>
    <w:p w:rsidR="00DA372A" w:rsidRDefault="00DA372A" w:rsidP="00644B01">
      <w:pPr>
        <w:pStyle w:val="Ingenmellomrom"/>
      </w:pPr>
    </w:p>
    <w:p w:rsidR="00DA372A" w:rsidRDefault="00061F3C" w:rsidP="00644B01">
      <w:pPr>
        <w:pStyle w:val="Ingenmellomrom"/>
      </w:pPr>
      <w:r>
        <w:t>Ovenstående viser at det er stor usikkerhet knyttet til gjennomføringen av ENØK tiltak. Dette kan henge sammen med energipriser og tidspunkt for iverksetting av de enkelte prosjekter. Det er derfor stor risiko for SEKF å ha innsparingskrav direkte rettet mot selskapet.</w:t>
      </w:r>
    </w:p>
    <w:p w:rsidR="00061F3C" w:rsidRDefault="00061F3C" w:rsidP="00644B01">
      <w:pPr>
        <w:pStyle w:val="Ingenmellomrom"/>
      </w:pPr>
    </w:p>
    <w:p w:rsidR="00061F3C" w:rsidRDefault="00061F3C" w:rsidP="00644B01">
      <w:pPr>
        <w:pStyle w:val="Ingenmellomrom"/>
      </w:pPr>
      <w:r>
        <w:t>Sluttrapport fra arbeidsgruppe energi viser at det er potensiale for ytterligere kostnadskutt innen ENØK området. Dette tilleggsnotatet viser likevel at realistisk, netto besparelse i de førstkommende årene er betydelig lavere enn budsjettert, til tross for effekten av nye tiltak. Først i 2019 vil en få full effekt av opprinnelig tiltaksliste fra 2011 samt nye tiltak.</w:t>
      </w:r>
    </w:p>
    <w:p w:rsidR="00061F3C" w:rsidRDefault="00061F3C" w:rsidP="00644B01">
      <w:pPr>
        <w:pStyle w:val="Ingenmellomrom"/>
      </w:pPr>
    </w:p>
    <w:p w:rsidR="00061F3C" w:rsidRDefault="00061F3C" w:rsidP="00644B01">
      <w:pPr>
        <w:pStyle w:val="Ingenmellomrom"/>
      </w:pPr>
      <w:r>
        <w:t xml:space="preserve">Innføring av </w:t>
      </w:r>
      <w:proofErr w:type="spellStart"/>
      <w:r>
        <w:t>EnergyManager</w:t>
      </w:r>
      <w:proofErr w:type="spellEnd"/>
      <w:r>
        <w:t xml:space="preserve"> som verktøy for energiledelse </w:t>
      </w:r>
      <w:r w:rsidR="00463AF0">
        <w:t xml:space="preserve">sammen med ny organisering </w:t>
      </w:r>
      <w:r>
        <w:t xml:space="preserve">forventes å få en 60% effekt i 2017 og 100% i 2018 av de 2,7 </w:t>
      </w:r>
      <w:proofErr w:type="spellStart"/>
      <w:r>
        <w:t>mill</w:t>
      </w:r>
      <w:proofErr w:type="spellEnd"/>
      <w:r>
        <w:t xml:space="preserve"> kWh som er forventet </w:t>
      </w:r>
      <w:proofErr w:type="spellStart"/>
      <w:r>
        <w:t>innsparingspotensiale</w:t>
      </w:r>
      <w:proofErr w:type="spellEnd"/>
      <w:r>
        <w:t xml:space="preserve"> for det prosjektet.</w:t>
      </w:r>
    </w:p>
    <w:sectPr w:rsidR="00061F3C" w:rsidSect="00C918DC">
      <w:headerReference w:type="default" r:id="rId10"/>
      <w:pgSz w:w="11906" w:h="16838"/>
      <w:pgMar w:top="2373" w:right="1274" w:bottom="1417" w:left="156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43F" w:rsidRDefault="00EE043F" w:rsidP="006D5BE2">
      <w:pPr>
        <w:spacing w:after="0" w:line="240" w:lineRule="auto"/>
      </w:pPr>
      <w:r>
        <w:separator/>
      </w:r>
    </w:p>
  </w:endnote>
  <w:endnote w:type="continuationSeparator" w:id="0">
    <w:p w:rsidR="00EE043F" w:rsidRDefault="00EE043F" w:rsidP="006D5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43F" w:rsidRDefault="00EE043F" w:rsidP="006D5BE2">
      <w:pPr>
        <w:spacing w:after="0" w:line="240" w:lineRule="auto"/>
      </w:pPr>
      <w:r>
        <w:separator/>
      </w:r>
    </w:p>
  </w:footnote>
  <w:footnote w:type="continuationSeparator" w:id="0">
    <w:p w:rsidR="00EE043F" w:rsidRDefault="00EE043F" w:rsidP="006D5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BE2" w:rsidRDefault="006D5BE2" w:rsidP="00DA7802">
    <w:pPr>
      <w:pStyle w:val="Topptekst"/>
    </w:pPr>
    <w:r>
      <w:tab/>
    </w:r>
    <w:r>
      <w:tab/>
    </w:r>
    <w:r w:rsidR="00C918DC">
      <w:rPr>
        <w:rFonts w:eastAsia="Times New Roman"/>
        <w:noProof/>
      </w:rPr>
      <w:drawing>
        <wp:inline distT="0" distB="0" distL="0" distR="0" wp14:anchorId="3AFE6596" wp14:editId="4C8C0E79">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655B"/>
    <w:multiLevelType w:val="hybridMultilevel"/>
    <w:tmpl w:val="5B7C11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304177"/>
    <w:multiLevelType w:val="hybridMultilevel"/>
    <w:tmpl w:val="420A0D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EA7124"/>
    <w:multiLevelType w:val="hybridMultilevel"/>
    <w:tmpl w:val="634270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E9B6274"/>
    <w:multiLevelType w:val="hybridMultilevel"/>
    <w:tmpl w:val="EFD8C860"/>
    <w:lvl w:ilvl="0" w:tplc="04140001">
      <w:start w:val="1"/>
      <w:numFmt w:val="bullet"/>
      <w:lvlText w:val=""/>
      <w:lvlJc w:val="left"/>
      <w:pPr>
        <w:ind w:left="1426" w:hanging="360"/>
      </w:pPr>
      <w:rPr>
        <w:rFonts w:ascii="Symbol" w:hAnsi="Symbol" w:hint="default"/>
      </w:rPr>
    </w:lvl>
    <w:lvl w:ilvl="1" w:tplc="04140003" w:tentative="1">
      <w:start w:val="1"/>
      <w:numFmt w:val="bullet"/>
      <w:lvlText w:val="o"/>
      <w:lvlJc w:val="left"/>
      <w:pPr>
        <w:ind w:left="2146" w:hanging="360"/>
      </w:pPr>
      <w:rPr>
        <w:rFonts w:ascii="Courier New" w:hAnsi="Courier New" w:cs="Courier New" w:hint="default"/>
      </w:rPr>
    </w:lvl>
    <w:lvl w:ilvl="2" w:tplc="04140005" w:tentative="1">
      <w:start w:val="1"/>
      <w:numFmt w:val="bullet"/>
      <w:lvlText w:val=""/>
      <w:lvlJc w:val="left"/>
      <w:pPr>
        <w:ind w:left="2866" w:hanging="360"/>
      </w:pPr>
      <w:rPr>
        <w:rFonts w:ascii="Wingdings" w:hAnsi="Wingdings" w:hint="default"/>
      </w:rPr>
    </w:lvl>
    <w:lvl w:ilvl="3" w:tplc="04140001" w:tentative="1">
      <w:start w:val="1"/>
      <w:numFmt w:val="bullet"/>
      <w:lvlText w:val=""/>
      <w:lvlJc w:val="left"/>
      <w:pPr>
        <w:ind w:left="3586" w:hanging="360"/>
      </w:pPr>
      <w:rPr>
        <w:rFonts w:ascii="Symbol" w:hAnsi="Symbol" w:hint="default"/>
      </w:rPr>
    </w:lvl>
    <w:lvl w:ilvl="4" w:tplc="04140003" w:tentative="1">
      <w:start w:val="1"/>
      <w:numFmt w:val="bullet"/>
      <w:lvlText w:val="o"/>
      <w:lvlJc w:val="left"/>
      <w:pPr>
        <w:ind w:left="4306" w:hanging="360"/>
      </w:pPr>
      <w:rPr>
        <w:rFonts w:ascii="Courier New" w:hAnsi="Courier New" w:cs="Courier New" w:hint="default"/>
      </w:rPr>
    </w:lvl>
    <w:lvl w:ilvl="5" w:tplc="04140005" w:tentative="1">
      <w:start w:val="1"/>
      <w:numFmt w:val="bullet"/>
      <w:lvlText w:val=""/>
      <w:lvlJc w:val="left"/>
      <w:pPr>
        <w:ind w:left="5026" w:hanging="360"/>
      </w:pPr>
      <w:rPr>
        <w:rFonts w:ascii="Wingdings" w:hAnsi="Wingdings" w:hint="default"/>
      </w:rPr>
    </w:lvl>
    <w:lvl w:ilvl="6" w:tplc="04140001" w:tentative="1">
      <w:start w:val="1"/>
      <w:numFmt w:val="bullet"/>
      <w:lvlText w:val=""/>
      <w:lvlJc w:val="left"/>
      <w:pPr>
        <w:ind w:left="5746" w:hanging="360"/>
      </w:pPr>
      <w:rPr>
        <w:rFonts w:ascii="Symbol" w:hAnsi="Symbol" w:hint="default"/>
      </w:rPr>
    </w:lvl>
    <w:lvl w:ilvl="7" w:tplc="04140003" w:tentative="1">
      <w:start w:val="1"/>
      <w:numFmt w:val="bullet"/>
      <w:lvlText w:val="o"/>
      <w:lvlJc w:val="left"/>
      <w:pPr>
        <w:ind w:left="6466" w:hanging="360"/>
      </w:pPr>
      <w:rPr>
        <w:rFonts w:ascii="Courier New" w:hAnsi="Courier New" w:cs="Courier New" w:hint="default"/>
      </w:rPr>
    </w:lvl>
    <w:lvl w:ilvl="8" w:tplc="04140005" w:tentative="1">
      <w:start w:val="1"/>
      <w:numFmt w:val="bullet"/>
      <w:lvlText w:val=""/>
      <w:lvlJc w:val="left"/>
      <w:pPr>
        <w:ind w:left="7186" w:hanging="360"/>
      </w:pPr>
      <w:rPr>
        <w:rFonts w:ascii="Wingdings" w:hAnsi="Wingdings" w:hint="default"/>
      </w:rPr>
    </w:lvl>
  </w:abstractNum>
  <w:abstractNum w:abstractNumId="4" w15:restartNumberingAfterBreak="0">
    <w:nsid w:val="1F8578DD"/>
    <w:multiLevelType w:val="hybridMultilevel"/>
    <w:tmpl w:val="C07E5A96"/>
    <w:lvl w:ilvl="0" w:tplc="C31215EE">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0051CB1"/>
    <w:multiLevelType w:val="hybridMultilevel"/>
    <w:tmpl w:val="7FA081FC"/>
    <w:lvl w:ilvl="0" w:tplc="3BDCD33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06173B5"/>
    <w:multiLevelType w:val="hybridMultilevel"/>
    <w:tmpl w:val="812E5BFE"/>
    <w:lvl w:ilvl="0" w:tplc="04140001">
      <w:start w:val="1"/>
      <w:numFmt w:val="bullet"/>
      <w:lvlText w:val=""/>
      <w:lvlJc w:val="left"/>
      <w:pPr>
        <w:ind w:left="1426" w:hanging="360"/>
      </w:pPr>
      <w:rPr>
        <w:rFonts w:ascii="Symbol" w:hAnsi="Symbol" w:hint="default"/>
      </w:rPr>
    </w:lvl>
    <w:lvl w:ilvl="1" w:tplc="04140003" w:tentative="1">
      <w:start w:val="1"/>
      <w:numFmt w:val="bullet"/>
      <w:lvlText w:val="o"/>
      <w:lvlJc w:val="left"/>
      <w:pPr>
        <w:ind w:left="2146" w:hanging="360"/>
      </w:pPr>
      <w:rPr>
        <w:rFonts w:ascii="Courier New" w:hAnsi="Courier New" w:cs="Courier New" w:hint="default"/>
      </w:rPr>
    </w:lvl>
    <w:lvl w:ilvl="2" w:tplc="04140005" w:tentative="1">
      <w:start w:val="1"/>
      <w:numFmt w:val="bullet"/>
      <w:lvlText w:val=""/>
      <w:lvlJc w:val="left"/>
      <w:pPr>
        <w:ind w:left="2866" w:hanging="360"/>
      </w:pPr>
      <w:rPr>
        <w:rFonts w:ascii="Wingdings" w:hAnsi="Wingdings" w:hint="default"/>
      </w:rPr>
    </w:lvl>
    <w:lvl w:ilvl="3" w:tplc="04140001" w:tentative="1">
      <w:start w:val="1"/>
      <w:numFmt w:val="bullet"/>
      <w:lvlText w:val=""/>
      <w:lvlJc w:val="left"/>
      <w:pPr>
        <w:ind w:left="3586" w:hanging="360"/>
      </w:pPr>
      <w:rPr>
        <w:rFonts w:ascii="Symbol" w:hAnsi="Symbol" w:hint="default"/>
      </w:rPr>
    </w:lvl>
    <w:lvl w:ilvl="4" w:tplc="04140003" w:tentative="1">
      <w:start w:val="1"/>
      <w:numFmt w:val="bullet"/>
      <w:lvlText w:val="o"/>
      <w:lvlJc w:val="left"/>
      <w:pPr>
        <w:ind w:left="4306" w:hanging="360"/>
      </w:pPr>
      <w:rPr>
        <w:rFonts w:ascii="Courier New" w:hAnsi="Courier New" w:cs="Courier New" w:hint="default"/>
      </w:rPr>
    </w:lvl>
    <w:lvl w:ilvl="5" w:tplc="04140005" w:tentative="1">
      <w:start w:val="1"/>
      <w:numFmt w:val="bullet"/>
      <w:lvlText w:val=""/>
      <w:lvlJc w:val="left"/>
      <w:pPr>
        <w:ind w:left="5026" w:hanging="360"/>
      </w:pPr>
      <w:rPr>
        <w:rFonts w:ascii="Wingdings" w:hAnsi="Wingdings" w:hint="default"/>
      </w:rPr>
    </w:lvl>
    <w:lvl w:ilvl="6" w:tplc="04140001" w:tentative="1">
      <w:start w:val="1"/>
      <w:numFmt w:val="bullet"/>
      <w:lvlText w:val=""/>
      <w:lvlJc w:val="left"/>
      <w:pPr>
        <w:ind w:left="5746" w:hanging="360"/>
      </w:pPr>
      <w:rPr>
        <w:rFonts w:ascii="Symbol" w:hAnsi="Symbol" w:hint="default"/>
      </w:rPr>
    </w:lvl>
    <w:lvl w:ilvl="7" w:tplc="04140003" w:tentative="1">
      <w:start w:val="1"/>
      <w:numFmt w:val="bullet"/>
      <w:lvlText w:val="o"/>
      <w:lvlJc w:val="left"/>
      <w:pPr>
        <w:ind w:left="6466" w:hanging="360"/>
      </w:pPr>
      <w:rPr>
        <w:rFonts w:ascii="Courier New" w:hAnsi="Courier New" w:cs="Courier New" w:hint="default"/>
      </w:rPr>
    </w:lvl>
    <w:lvl w:ilvl="8" w:tplc="04140005" w:tentative="1">
      <w:start w:val="1"/>
      <w:numFmt w:val="bullet"/>
      <w:lvlText w:val=""/>
      <w:lvlJc w:val="left"/>
      <w:pPr>
        <w:ind w:left="7186" w:hanging="360"/>
      </w:pPr>
      <w:rPr>
        <w:rFonts w:ascii="Wingdings" w:hAnsi="Wingdings" w:hint="default"/>
      </w:rPr>
    </w:lvl>
  </w:abstractNum>
  <w:abstractNum w:abstractNumId="7" w15:restartNumberingAfterBreak="0">
    <w:nsid w:val="26166338"/>
    <w:multiLevelType w:val="hybridMultilevel"/>
    <w:tmpl w:val="4588EBB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4DD81A78"/>
    <w:multiLevelType w:val="hybridMultilevel"/>
    <w:tmpl w:val="249E2B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2B7770A"/>
    <w:multiLevelType w:val="hybridMultilevel"/>
    <w:tmpl w:val="BBC4C0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2EC7A96"/>
    <w:multiLevelType w:val="multilevel"/>
    <w:tmpl w:val="550E4D6C"/>
    <w:lvl w:ilvl="0">
      <w:start w:val="10"/>
      <w:numFmt w:val="decimal"/>
      <w:lvlText w:val="%1.0"/>
      <w:lvlJc w:val="left"/>
      <w:pPr>
        <w:tabs>
          <w:tab w:val="num" w:pos="660"/>
        </w:tabs>
        <w:ind w:left="660" w:hanging="660"/>
      </w:pPr>
      <w:rPr>
        <w:rFonts w:hint="default"/>
      </w:rPr>
    </w:lvl>
    <w:lvl w:ilvl="1">
      <w:start w:val="1"/>
      <w:numFmt w:val="decimalZero"/>
      <w:lvlText w:val="%1.%2"/>
      <w:lvlJc w:val="left"/>
      <w:pPr>
        <w:tabs>
          <w:tab w:val="num" w:pos="1368"/>
        </w:tabs>
        <w:ind w:left="1368" w:hanging="6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1" w15:restartNumberingAfterBreak="0">
    <w:nsid w:val="5342409A"/>
    <w:multiLevelType w:val="hybridMultilevel"/>
    <w:tmpl w:val="36D04F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6CA485F"/>
    <w:multiLevelType w:val="hybridMultilevel"/>
    <w:tmpl w:val="4030C36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3" w15:restartNumberingAfterBreak="0">
    <w:nsid w:val="582F4F7D"/>
    <w:multiLevelType w:val="hybridMultilevel"/>
    <w:tmpl w:val="E7E27BC2"/>
    <w:lvl w:ilvl="0" w:tplc="9E78D286">
      <w:start w:val="1"/>
      <w:numFmt w:val="decimal"/>
      <w:lvlText w:val="%1."/>
      <w:lvlJc w:val="left"/>
      <w:pPr>
        <w:tabs>
          <w:tab w:val="num" w:pos="1352"/>
        </w:tabs>
        <w:ind w:left="1352"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4" w15:restartNumberingAfterBreak="0">
    <w:nsid w:val="7A027006"/>
    <w:multiLevelType w:val="hybridMultilevel"/>
    <w:tmpl w:val="953A61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2"/>
  </w:num>
  <w:num w:numId="5">
    <w:abstractNumId w:val="11"/>
  </w:num>
  <w:num w:numId="6">
    <w:abstractNumId w:val="7"/>
  </w:num>
  <w:num w:numId="7">
    <w:abstractNumId w:val="12"/>
  </w:num>
  <w:num w:numId="8">
    <w:abstractNumId w:val="0"/>
  </w:num>
  <w:num w:numId="9">
    <w:abstractNumId w:val="9"/>
  </w:num>
  <w:num w:numId="10">
    <w:abstractNumId w:val="13"/>
  </w:num>
  <w:num w:numId="11">
    <w:abstractNumId w:val="10"/>
  </w:num>
  <w:num w:numId="12">
    <w:abstractNumId w:val="14"/>
  </w:num>
  <w:num w:numId="13">
    <w:abstractNumId w:val="4"/>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BE2"/>
    <w:rsid w:val="00016724"/>
    <w:rsid w:val="00020D69"/>
    <w:rsid w:val="00025F88"/>
    <w:rsid w:val="00044675"/>
    <w:rsid w:val="00046847"/>
    <w:rsid w:val="00053480"/>
    <w:rsid w:val="00061F3C"/>
    <w:rsid w:val="00072B52"/>
    <w:rsid w:val="0009488C"/>
    <w:rsid w:val="000A6634"/>
    <w:rsid w:val="000B650E"/>
    <w:rsid w:val="000C3698"/>
    <w:rsid w:val="000C4FAE"/>
    <w:rsid w:val="000C617D"/>
    <w:rsid w:val="000C7A6C"/>
    <w:rsid w:val="000E1644"/>
    <w:rsid w:val="000E2207"/>
    <w:rsid w:val="000E313F"/>
    <w:rsid w:val="00100950"/>
    <w:rsid w:val="00106B6E"/>
    <w:rsid w:val="00150D32"/>
    <w:rsid w:val="00151E35"/>
    <w:rsid w:val="00155E09"/>
    <w:rsid w:val="001651DD"/>
    <w:rsid w:val="00165444"/>
    <w:rsid w:val="00186A59"/>
    <w:rsid w:val="0019270A"/>
    <w:rsid w:val="00197336"/>
    <w:rsid w:val="001A5CB9"/>
    <w:rsid w:val="001B54BA"/>
    <w:rsid w:val="001D035E"/>
    <w:rsid w:val="001D10A9"/>
    <w:rsid w:val="001D5101"/>
    <w:rsid w:val="001D7698"/>
    <w:rsid w:val="001F7178"/>
    <w:rsid w:val="00213946"/>
    <w:rsid w:val="00236328"/>
    <w:rsid w:val="00240C4C"/>
    <w:rsid w:val="002574E7"/>
    <w:rsid w:val="00281B3F"/>
    <w:rsid w:val="002822DA"/>
    <w:rsid w:val="00296F6F"/>
    <w:rsid w:val="002C3B1B"/>
    <w:rsid w:val="002C423C"/>
    <w:rsid w:val="002E1DA3"/>
    <w:rsid w:val="002E3032"/>
    <w:rsid w:val="002F3701"/>
    <w:rsid w:val="003000AF"/>
    <w:rsid w:val="00311565"/>
    <w:rsid w:val="00334160"/>
    <w:rsid w:val="00335010"/>
    <w:rsid w:val="0034365E"/>
    <w:rsid w:val="003628BC"/>
    <w:rsid w:val="003657AD"/>
    <w:rsid w:val="0037425D"/>
    <w:rsid w:val="003777FA"/>
    <w:rsid w:val="00380900"/>
    <w:rsid w:val="003912A0"/>
    <w:rsid w:val="0039452D"/>
    <w:rsid w:val="003A5EFA"/>
    <w:rsid w:val="003B423F"/>
    <w:rsid w:val="003C380D"/>
    <w:rsid w:val="003C7BC5"/>
    <w:rsid w:val="003D567E"/>
    <w:rsid w:val="003D6E79"/>
    <w:rsid w:val="0040497F"/>
    <w:rsid w:val="00415D3A"/>
    <w:rsid w:val="00421A64"/>
    <w:rsid w:val="00424083"/>
    <w:rsid w:val="00425E53"/>
    <w:rsid w:val="00430647"/>
    <w:rsid w:val="00440F4B"/>
    <w:rsid w:val="00441ACB"/>
    <w:rsid w:val="00447952"/>
    <w:rsid w:val="00463AF0"/>
    <w:rsid w:val="00466ECA"/>
    <w:rsid w:val="00471E9A"/>
    <w:rsid w:val="00472235"/>
    <w:rsid w:val="0049152F"/>
    <w:rsid w:val="00491BF0"/>
    <w:rsid w:val="004A132A"/>
    <w:rsid w:val="004E6EE8"/>
    <w:rsid w:val="004F0374"/>
    <w:rsid w:val="00500878"/>
    <w:rsid w:val="00505C08"/>
    <w:rsid w:val="00535E1E"/>
    <w:rsid w:val="00547C7C"/>
    <w:rsid w:val="00551A0F"/>
    <w:rsid w:val="0056152C"/>
    <w:rsid w:val="00562AC8"/>
    <w:rsid w:val="005636FB"/>
    <w:rsid w:val="005722AC"/>
    <w:rsid w:val="00581A58"/>
    <w:rsid w:val="00584294"/>
    <w:rsid w:val="00584B3B"/>
    <w:rsid w:val="0059277E"/>
    <w:rsid w:val="005D0C19"/>
    <w:rsid w:val="005E315B"/>
    <w:rsid w:val="00615822"/>
    <w:rsid w:val="006238A2"/>
    <w:rsid w:val="00626549"/>
    <w:rsid w:val="00633948"/>
    <w:rsid w:val="00644B01"/>
    <w:rsid w:val="00653631"/>
    <w:rsid w:val="0067272E"/>
    <w:rsid w:val="00675EF4"/>
    <w:rsid w:val="006A3786"/>
    <w:rsid w:val="006B409F"/>
    <w:rsid w:val="006D00E8"/>
    <w:rsid w:val="006D5BE2"/>
    <w:rsid w:val="006F1353"/>
    <w:rsid w:val="006F6BC5"/>
    <w:rsid w:val="00706445"/>
    <w:rsid w:val="00711626"/>
    <w:rsid w:val="00725A74"/>
    <w:rsid w:val="0073213A"/>
    <w:rsid w:val="0075445A"/>
    <w:rsid w:val="007757BC"/>
    <w:rsid w:val="007800A2"/>
    <w:rsid w:val="00794692"/>
    <w:rsid w:val="007A2E20"/>
    <w:rsid w:val="007B279D"/>
    <w:rsid w:val="007B3C1B"/>
    <w:rsid w:val="007C300D"/>
    <w:rsid w:val="007D3359"/>
    <w:rsid w:val="007D7990"/>
    <w:rsid w:val="007F0EA1"/>
    <w:rsid w:val="0081343E"/>
    <w:rsid w:val="0084584B"/>
    <w:rsid w:val="00846F59"/>
    <w:rsid w:val="00864FC6"/>
    <w:rsid w:val="008650F2"/>
    <w:rsid w:val="00870215"/>
    <w:rsid w:val="00873EE3"/>
    <w:rsid w:val="008B21E0"/>
    <w:rsid w:val="008C2A9E"/>
    <w:rsid w:val="008D73B1"/>
    <w:rsid w:val="008E5614"/>
    <w:rsid w:val="009076AE"/>
    <w:rsid w:val="00924B6D"/>
    <w:rsid w:val="009301FB"/>
    <w:rsid w:val="009321DB"/>
    <w:rsid w:val="00937C28"/>
    <w:rsid w:val="009573AB"/>
    <w:rsid w:val="00981E14"/>
    <w:rsid w:val="00983271"/>
    <w:rsid w:val="009951DF"/>
    <w:rsid w:val="009A1E36"/>
    <w:rsid w:val="009C01FF"/>
    <w:rsid w:val="009C55FB"/>
    <w:rsid w:val="009C71C3"/>
    <w:rsid w:val="009E5A39"/>
    <w:rsid w:val="00A051D0"/>
    <w:rsid w:val="00A43049"/>
    <w:rsid w:val="00A62C08"/>
    <w:rsid w:val="00A7442E"/>
    <w:rsid w:val="00A915BE"/>
    <w:rsid w:val="00A92C42"/>
    <w:rsid w:val="00A946F9"/>
    <w:rsid w:val="00AD26FA"/>
    <w:rsid w:val="00AF061F"/>
    <w:rsid w:val="00AF16B4"/>
    <w:rsid w:val="00B000C7"/>
    <w:rsid w:val="00B0443B"/>
    <w:rsid w:val="00B045AB"/>
    <w:rsid w:val="00B1204B"/>
    <w:rsid w:val="00B13FB9"/>
    <w:rsid w:val="00B32995"/>
    <w:rsid w:val="00B430A4"/>
    <w:rsid w:val="00B5474E"/>
    <w:rsid w:val="00B64D15"/>
    <w:rsid w:val="00B73EAF"/>
    <w:rsid w:val="00B9679F"/>
    <w:rsid w:val="00BA75AC"/>
    <w:rsid w:val="00C046A1"/>
    <w:rsid w:val="00C21149"/>
    <w:rsid w:val="00C21FFD"/>
    <w:rsid w:val="00C36F71"/>
    <w:rsid w:val="00C51DE4"/>
    <w:rsid w:val="00C55051"/>
    <w:rsid w:val="00C918DC"/>
    <w:rsid w:val="00CB5AA8"/>
    <w:rsid w:val="00CC52B5"/>
    <w:rsid w:val="00CE1FF7"/>
    <w:rsid w:val="00CE3AF9"/>
    <w:rsid w:val="00CF09E8"/>
    <w:rsid w:val="00CF54FC"/>
    <w:rsid w:val="00D02AE4"/>
    <w:rsid w:val="00D2416D"/>
    <w:rsid w:val="00D44C93"/>
    <w:rsid w:val="00D6399E"/>
    <w:rsid w:val="00D76925"/>
    <w:rsid w:val="00DA372A"/>
    <w:rsid w:val="00DA7802"/>
    <w:rsid w:val="00DE225C"/>
    <w:rsid w:val="00DE62FC"/>
    <w:rsid w:val="00DF26F4"/>
    <w:rsid w:val="00E2275F"/>
    <w:rsid w:val="00E44783"/>
    <w:rsid w:val="00E4717D"/>
    <w:rsid w:val="00E64BDC"/>
    <w:rsid w:val="00E8645B"/>
    <w:rsid w:val="00EB31E9"/>
    <w:rsid w:val="00EB5C2A"/>
    <w:rsid w:val="00EC6ED2"/>
    <w:rsid w:val="00EE043F"/>
    <w:rsid w:val="00EE5555"/>
    <w:rsid w:val="00EF38A2"/>
    <w:rsid w:val="00F00CFD"/>
    <w:rsid w:val="00F015C8"/>
    <w:rsid w:val="00F162C1"/>
    <w:rsid w:val="00F172F0"/>
    <w:rsid w:val="00F56B2C"/>
    <w:rsid w:val="00F73D85"/>
    <w:rsid w:val="00F930AF"/>
    <w:rsid w:val="00FC6651"/>
    <w:rsid w:val="00FD22C2"/>
    <w:rsid w:val="00FF30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CEBBA41-6F0C-4EE0-BFBD-A4D39E73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6D5BE2"/>
    <w:pPr>
      <w:autoSpaceDE w:val="0"/>
      <w:autoSpaceDN w:val="0"/>
      <w:adjustRightInd w:val="0"/>
      <w:spacing w:after="0" w:line="240" w:lineRule="auto"/>
    </w:pPr>
    <w:rPr>
      <w:rFonts w:ascii="Calibri" w:hAnsi="Calibri" w:cs="Calibri"/>
      <w:color w:val="000000"/>
      <w:sz w:val="24"/>
      <w:szCs w:val="24"/>
    </w:rPr>
  </w:style>
  <w:style w:type="paragraph" w:styleId="Topptekst">
    <w:name w:val="header"/>
    <w:basedOn w:val="Normal"/>
    <w:link w:val="TopptekstTegn"/>
    <w:unhideWhenUsed/>
    <w:rsid w:val="006D5BE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D5BE2"/>
  </w:style>
  <w:style w:type="paragraph" w:styleId="Bunntekst">
    <w:name w:val="footer"/>
    <w:basedOn w:val="Normal"/>
    <w:link w:val="BunntekstTegn"/>
    <w:uiPriority w:val="99"/>
    <w:unhideWhenUsed/>
    <w:rsid w:val="006D5BE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D5BE2"/>
  </w:style>
  <w:style w:type="paragraph" w:styleId="Bobletekst">
    <w:name w:val="Balloon Text"/>
    <w:basedOn w:val="Normal"/>
    <w:link w:val="BobletekstTegn"/>
    <w:uiPriority w:val="99"/>
    <w:semiHidden/>
    <w:unhideWhenUsed/>
    <w:rsid w:val="006D5BE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D5BE2"/>
    <w:rPr>
      <w:rFonts w:ascii="Tahoma" w:hAnsi="Tahoma" w:cs="Tahoma"/>
      <w:sz w:val="16"/>
      <w:szCs w:val="16"/>
    </w:rPr>
  </w:style>
  <w:style w:type="paragraph" w:styleId="Ingenmellomrom">
    <w:name w:val="No Spacing"/>
    <w:uiPriority w:val="1"/>
    <w:qFormat/>
    <w:rsid w:val="00072B52"/>
    <w:pPr>
      <w:spacing w:after="0" w:line="240" w:lineRule="auto"/>
    </w:pPr>
  </w:style>
  <w:style w:type="paragraph" w:styleId="Listeavsnitt">
    <w:name w:val="List Paragraph"/>
    <w:basedOn w:val="Normal"/>
    <w:uiPriority w:val="34"/>
    <w:qFormat/>
    <w:rsid w:val="00F73D85"/>
    <w:pPr>
      <w:ind w:left="720"/>
      <w:contextualSpacing/>
    </w:pPr>
  </w:style>
  <w:style w:type="table" w:styleId="Tabellrutenett">
    <w:name w:val="Table Grid"/>
    <w:basedOn w:val="Vanligtabell"/>
    <w:uiPriority w:val="59"/>
    <w:rsid w:val="003C3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nrykk">
    <w:name w:val="Innrykk"/>
    <w:basedOn w:val="Normal"/>
    <w:uiPriority w:val="99"/>
    <w:rsid w:val="00DE225C"/>
    <w:pPr>
      <w:overflowPunct w:val="0"/>
      <w:autoSpaceDE w:val="0"/>
      <w:autoSpaceDN w:val="0"/>
      <w:adjustRightInd w:val="0"/>
      <w:spacing w:after="0" w:line="240" w:lineRule="auto"/>
      <w:ind w:left="992"/>
    </w:pPr>
    <w:rPr>
      <w:rFonts w:ascii="Times New Roman" w:eastAsia="Times New Roman" w:hAnsi="Times New Roman" w:cs="Times New Roman"/>
      <w:szCs w:val="20"/>
      <w:lang w:val="nn-NO"/>
    </w:rPr>
  </w:style>
  <w:style w:type="paragraph" w:customStyle="1" w:styleId="Tabelltekst">
    <w:name w:val="Tabelltekst"/>
    <w:rsid w:val="00DE225C"/>
    <w:pPr>
      <w:spacing w:before="40" w:after="20" w:line="240" w:lineRule="auto"/>
      <w:ind w:left="113"/>
    </w:pPr>
    <w:rPr>
      <w:rFonts w:ascii="Arial" w:eastAsia="Times New Roman" w:hAnsi="Arial" w:cs="Times New Roman"/>
      <w:sz w:val="20"/>
      <w:szCs w:val="20"/>
      <w:lang w:eastAsia="en-US"/>
    </w:rPr>
  </w:style>
  <w:style w:type="paragraph" w:styleId="Fotnotetekst">
    <w:name w:val="footnote text"/>
    <w:basedOn w:val="Normal"/>
    <w:link w:val="FotnotetekstTegn"/>
    <w:semiHidden/>
    <w:rsid w:val="00CF09E8"/>
    <w:pPr>
      <w:spacing w:after="0" w:line="240" w:lineRule="auto"/>
    </w:pPr>
    <w:rPr>
      <w:rFonts w:ascii="Arial" w:eastAsia="Times New Roman" w:hAnsi="Arial" w:cs="Times New Roman"/>
      <w:sz w:val="20"/>
      <w:szCs w:val="20"/>
    </w:rPr>
  </w:style>
  <w:style w:type="character" w:customStyle="1" w:styleId="FotnotetekstTegn">
    <w:name w:val="Fotnotetekst Tegn"/>
    <w:basedOn w:val="Standardskriftforavsnitt"/>
    <w:link w:val="Fotnotetekst"/>
    <w:semiHidden/>
    <w:rsid w:val="00CF09E8"/>
    <w:rPr>
      <w:rFonts w:ascii="Arial" w:eastAsia="Times New Roman" w:hAnsi="Arial" w:cs="Times New Roman"/>
      <w:sz w:val="20"/>
      <w:szCs w:val="20"/>
    </w:rPr>
  </w:style>
  <w:style w:type="character" w:styleId="Fotnotereferanse">
    <w:name w:val="footnote reference"/>
    <w:basedOn w:val="Standardskriftforavsnitt"/>
    <w:semiHidden/>
    <w:rsid w:val="00CF09E8"/>
    <w:rPr>
      <w:vertAlign w:val="superscript"/>
    </w:rPr>
  </w:style>
  <w:style w:type="character" w:styleId="Merknadsreferanse">
    <w:name w:val="annotation reference"/>
    <w:basedOn w:val="Standardskriftforavsnitt"/>
    <w:uiPriority w:val="99"/>
    <w:semiHidden/>
    <w:unhideWhenUsed/>
    <w:rsid w:val="00466ECA"/>
    <w:rPr>
      <w:sz w:val="16"/>
      <w:szCs w:val="16"/>
    </w:rPr>
  </w:style>
  <w:style w:type="paragraph" w:styleId="Merknadstekst">
    <w:name w:val="annotation text"/>
    <w:basedOn w:val="Normal"/>
    <w:link w:val="MerknadstekstTegn"/>
    <w:uiPriority w:val="99"/>
    <w:semiHidden/>
    <w:unhideWhenUsed/>
    <w:rsid w:val="00466EC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66ECA"/>
    <w:rPr>
      <w:sz w:val="20"/>
      <w:szCs w:val="20"/>
    </w:rPr>
  </w:style>
  <w:style w:type="paragraph" w:styleId="Kommentaremne">
    <w:name w:val="annotation subject"/>
    <w:basedOn w:val="Merknadstekst"/>
    <w:next w:val="Merknadstekst"/>
    <w:link w:val="KommentaremneTegn"/>
    <w:uiPriority w:val="99"/>
    <w:semiHidden/>
    <w:unhideWhenUsed/>
    <w:rsid w:val="00466ECA"/>
    <w:rPr>
      <w:b/>
      <w:bCs/>
    </w:rPr>
  </w:style>
  <w:style w:type="character" w:customStyle="1" w:styleId="KommentaremneTegn">
    <w:name w:val="Kommentaremne Tegn"/>
    <w:basedOn w:val="MerknadstekstTegn"/>
    <w:link w:val="Kommentaremne"/>
    <w:uiPriority w:val="99"/>
    <w:semiHidden/>
    <w:rsid w:val="00466ECA"/>
    <w:rPr>
      <w:b/>
      <w:bCs/>
      <w:sz w:val="20"/>
      <w:szCs w:val="20"/>
    </w:rPr>
  </w:style>
  <w:style w:type="paragraph" w:styleId="NormalWeb">
    <w:name w:val="Normal (Web)"/>
    <w:basedOn w:val="Normal"/>
    <w:uiPriority w:val="99"/>
    <w:unhideWhenUsed/>
    <w:rsid w:val="004722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80185">
      <w:bodyDiv w:val="1"/>
      <w:marLeft w:val="0"/>
      <w:marRight w:val="0"/>
      <w:marTop w:val="0"/>
      <w:marBottom w:val="0"/>
      <w:divBdr>
        <w:top w:val="none" w:sz="0" w:space="0" w:color="auto"/>
        <w:left w:val="none" w:sz="0" w:space="0" w:color="auto"/>
        <w:bottom w:val="none" w:sz="0" w:space="0" w:color="auto"/>
        <w:right w:val="none" w:sz="0" w:space="0" w:color="auto"/>
      </w:divBdr>
    </w:div>
    <w:div w:id="300116673">
      <w:bodyDiv w:val="1"/>
      <w:marLeft w:val="0"/>
      <w:marRight w:val="0"/>
      <w:marTop w:val="0"/>
      <w:marBottom w:val="0"/>
      <w:divBdr>
        <w:top w:val="none" w:sz="0" w:space="0" w:color="auto"/>
        <w:left w:val="none" w:sz="0" w:space="0" w:color="auto"/>
        <w:bottom w:val="none" w:sz="0" w:space="0" w:color="auto"/>
        <w:right w:val="none" w:sz="0" w:space="0" w:color="auto"/>
      </w:divBdr>
      <w:divsChild>
        <w:div w:id="1004163398">
          <w:marLeft w:val="0"/>
          <w:marRight w:val="0"/>
          <w:marTop w:val="0"/>
          <w:marBottom w:val="0"/>
          <w:divBdr>
            <w:top w:val="none" w:sz="0" w:space="0" w:color="auto"/>
            <w:left w:val="none" w:sz="0" w:space="0" w:color="auto"/>
            <w:bottom w:val="none" w:sz="0" w:space="0" w:color="auto"/>
            <w:right w:val="none" w:sz="0" w:space="0" w:color="auto"/>
          </w:divBdr>
          <w:divsChild>
            <w:div w:id="732890300">
              <w:marLeft w:val="-225"/>
              <w:marRight w:val="-225"/>
              <w:marTop w:val="0"/>
              <w:marBottom w:val="0"/>
              <w:divBdr>
                <w:top w:val="none" w:sz="0" w:space="0" w:color="auto"/>
                <w:left w:val="none" w:sz="0" w:space="0" w:color="auto"/>
                <w:bottom w:val="none" w:sz="0" w:space="0" w:color="auto"/>
                <w:right w:val="none" w:sz="0" w:space="0" w:color="auto"/>
              </w:divBdr>
              <w:divsChild>
                <w:div w:id="1328167471">
                  <w:marLeft w:val="0"/>
                  <w:marRight w:val="0"/>
                  <w:marTop w:val="0"/>
                  <w:marBottom w:val="0"/>
                  <w:divBdr>
                    <w:top w:val="none" w:sz="0" w:space="0" w:color="auto"/>
                    <w:left w:val="none" w:sz="0" w:space="0" w:color="auto"/>
                    <w:bottom w:val="none" w:sz="0" w:space="0" w:color="auto"/>
                    <w:right w:val="none" w:sz="0" w:space="0" w:color="auto"/>
                  </w:divBdr>
                  <w:divsChild>
                    <w:div w:id="402600996">
                      <w:marLeft w:val="0"/>
                      <w:marRight w:val="0"/>
                      <w:marTop w:val="0"/>
                      <w:marBottom w:val="0"/>
                      <w:divBdr>
                        <w:top w:val="none" w:sz="0" w:space="0" w:color="auto"/>
                        <w:left w:val="none" w:sz="0" w:space="0" w:color="auto"/>
                        <w:bottom w:val="none" w:sz="0" w:space="0" w:color="auto"/>
                        <w:right w:val="none" w:sz="0" w:space="0" w:color="auto"/>
                      </w:divBdr>
                      <w:divsChild>
                        <w:div w:id="927232776">
                          <w:marLeft w:val="0"/>
                          <w:marRight w:val="0"/>
                          <w:marTop w:val="0"/>
                          <w:marBottom w:val="0"/>
                          <w:divBdr>
                            <w:top w:val="none" w:sz="0" w:space="0" w:color="auto"/>
                            <w:left w:val="none" w:sz="0" w:space="0" w:color="auto"/>
                            <w:bottom w:val="none" w:sz="0" w:space="0" w:color="auto"/>
                            <w:right w:val="none" w:sz="0" w:space="0" w:color="auto"/>
                          </w:divBdr>
                          <w:divsChild>
                            <w:div w:id="998271405">
                              <w:marLeft w:val="0"/>
                              <w:marRight w:val="0"/>
                              <w:marTop w:val="0"/>
                              <w:marBottom w:val="0"/>
                              <w:divBdr>
                                <w:top w:val="none" w:sz="0" w:space="0" w:color="auto"/>
                                <w:left w:val="none" w:sz="0" w:space="0" w:color="auto"/>
                                <w:bottom w:val="none" w:sz="0" w:space="0" w:color="auto"/>
                                <w:right w:val="none" w:sz="0" w:space="0" w:color="auto"/>
                              </w:divBdr>
                              <w:divsChild>
                                <w:div w:id="5684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882423">
      <w:bodyDiv w:val="1"/>
      <w:marLeft w:val="0"/>
      <w:marRight w:val="0"/>
      <w:marTop w:val="0"/>
      <w:marBottom w:val="0"/>
      <w:divBdr>
        <w:top w:val="none" w:sz="0" w:space="0" w:color="auto"/>
        <w:left w:val="none" w:sz="0" w:space="0" w:color="auto"/>
        <w:bottom w:val="none" w:sz="0" w:space="0" w:color="auto"/>
        <w:right w:val="none" w:sz="0" w:space="0" w:color="auto"/>
      </w:divBdr>
    </w:div>
    <w:div w:id="843783486">
      <w:bodyDiv w:val="1"/>
      <w:marLeft w:val="0"/>
      <w:marRight w:val="0"/>
      <w:marTop w:val="0"/>
      <w:marBottom w:val="0"/>
      <w:divBdr>
        <w:top w:val="none" w:sz="0" w:space="0" w:color="auto"/>
        <w:left w:val="none" w:sz="0" w:space="0" w:color="auto"/>
        <w:bottom w:val="none" w:sz="0" w:space="0" w:color="auto"/>
        <w:right w:val="none" w:sz="0" w:space="0" w:color="auto"/>
      </w:divBdr>
    </w:div>
    <w:div w:id="1104181499">
      <w:bodyDiv w:val="1"/>
      <w:marLeft w:val="0"/>
      <w:marRight w:val="0"/>
      <w:marTop w:val="0"/>
      <w:marBottom w:val="0"/>
      <w:divBdr>
        <w:top w:val="none" w:sz="0" w:space="0" w:color="auto"/>
        <w:left w:val="none" w:sz="0" w:space="0" w:color="auto"/>
        <w:bottom w:val="none" w:sz="0" w:space="0" w:color="auto"/>
        <w:right w:val="none" w:sz="0" w:space="0" w:color="auto"/>
      </w:divBdr>
    </w:div>
    <w:div w:id="1138452634">
      <w:bodyDiv w:val="1"/>
      <w:marLeft w:val="0"/>
      <w:marRight w:val="0"/>
      <w:marTop w:val="0"/>
      <w:marBottom w:val="0"/>
      <w:divBdr>
        <w:top w:val="none" w:sz="0" w:space="0" w:color="auto"/>
        <w:left w:val="none" w:sz="0" w:space="0" w:color="auto"/>
        <w:bottom w:val="none" w:sz="0" w:space="0" w:color="auto"/>
        <w:right w:val="none" w:sz="0" w:space="0" w:color="auto"/>
      </w:divBdr>
    </w:div>
    <w:div w:id="1165629443">
      <w:bodyDiv w:val="1"/>
      <w:marLeft w:val="0"/>
      <w:marRight w:val="0"/>
      <w:marTop w:val="0"/>
      <w:marBottom w:val="0"/>
      <w:divBdr>
        <w:top w:val="none" w:sz="0" w:space="0" w:color="auto"/>
        <w:left w:val="none" w:sz="0" w:space="0" w:color="auto"/>
        <w:bottom w:val="none" w:sz="0" w:space="0" w:color="auto"/>
        <w:right w:val="none" w:sz="0" w:space="0" w:color="auto"/>
      </w:divBdr>
    </w:div>
    <w:div w:id="1373506439">
      <w:bodyDiv w:val="1"/>
      <w:marLeft w:val="0"/>
      <w:marRight w:val="0"/>
      <w:marTop w:val="0"/>
      <w:marBottom w:val="0"/>
      <w:divBdr>
        <w:top w:val="none" w:sz="0" w:space="0" w:color="auto"/>
        <w:left w:val="none" w:sz="0" w:space="0" w:color="auto"/>
        <w:bottom w:val="none" w:sz="0" w:space="0" w:color="auto"/>
        <w:right w:val="none" w:sz="0" w:space="0" w:color="auto"/>
      </w:divBdr>
    </w:div>
    <w:div w:id="1647396611">
      <w:bodyDiv w:val="1"/>
      <w:marLeft w:val="0"/>
      <w:marRight w:val="0"/>
      <w:marTop w:val="0"/>
      <w:marBottom w:val="0"/>
      <w:divBdr>
        <w:top w:val="none" w:sz="0" w:space="0" w:color="auto"/>
        <w:left w:val="none" w:sz="0" w:space="0" w:color="auto"/>
        <w:bottom w:val="none" w:sz="0" w:space="0" w:color="auto"/>
        <w:right w:val="none" w:sz="0" w:space="0" w:color="auto"/>
      </w:divBdr>
    </w:div>
    <w:div w:id="1699696358">
      <w:bodyDiv w:val="1"/>
      <w:marLeft w:val="0"/>
      <w:marRight w:val="0"/>
      <w:marTop w:val="0"/>
      <w:marBottom w:val="0"/>
      <w:divBdr>
        <w:top w:val="none" w:sz="0" w:space="0" w:color="auto"/>
        <w:left w:val="none" w:sz="0" w:space="0" w:color="auto"/>
        <w:bottom w:val="none" w:sz="0" w:space="0" w:color="auto"/>
        <w:right w:val="none" w:sz="0" w:space="0" w:color="auto"/>
      </w:divBdr>
    </w:div>
    <w:div w:id="1924291922">
      <w:bodyDiv w:val="1"/>
      <w:marLeft w:val="0"/>
      <w:marRight w:val="0"/>
      <w:marTop w:val="0"/>
      <w:marBottom w:val="0"/>
      <w:divBdr>
        <w:top w:val="none" w:sz="0" w:space="0" w:color="auto"/>
        <w:left w:val="none" w:sz="0" w:space="0" w:color="auto"/>
        <w:bottom w:val="none" w:sz="0" w:space="0" w:color="auto"/>
        <w:right w:val="none" w:sz="0" w:space="0" w:color="auto"/>
      </w:divBdr>
    </w:div>
    <w:div w:id="2032871076">
      <w:bodyDiv w:val="1"/>
      <w:marLeft w:val="0"/>
      <w:marRight w:val="0"/>
      <w:marTop w:val="0"/>
      <w:marBottom w:val="0"/>
      <w:divBdr>
        <w:top w:val="none" w:sz="0" w:space="0" w:color="auto"/>
        <w:left w:val="none" w:sz="0" w:space="0" w:color="auto"/>
        <w:bottom w:val="none" w:sz="0" w:space="0" w:color="auto"/>
        <w:right w:val="none" w:sz="0" w:space="0" w:color="auto"/>
      </w:divBdr>
    </w:div>
    <w:div w:id="206197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cid:378529b0-c7b2-4dce-a8f3-df319b94f56e@sandnes.kommune.no" TargetMode="External"/><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551</Words>
  <Characters>2926</Characters>
  <Application>Microsoft Office Word</Application>
  <DocSecurity>4</DocSecurity>
  <Lines>24</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Sandnes Kommune</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sluttbruker</dc:creator>
  <cp:lastModifiedBy>Sterri, Torbjørn</cp:lastModifiedBy>
  <cp:revision>2</cp:revision>
  <cp:lastPrinted>2015-08-17T11:07:00Z</cp:lastPrinted>
  <dcterms:created xsi:type="dcterms:W3CDTF">2016-04-19T17:51:00Z</dcterms:created>
  <dcterms:modified xsi:type="dcterms:W3CDTF">2016-04-19T17:51:00Z</dcterms:modified>
</cp:coreProperties>
</file>